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9e7711394abae50cee8acba13d3a10299bf90"/>
      <w:r>
        <w:rPr>
          <w:b/>
        </w:rPr>
        <w:t xml:space="preserve">ПРОТОКОЛ ЕЛЕКТРОННОГО АУКЦІОНУ № BSE001-UA-20230526-91721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ДБЛМ1min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Частина Дніпровсько-Бузької гирлової системи в адміністративних межах Миколаївської області ДБЛМ1min</w:t>
      </w:r>
    </w:p>
    <w:p>
      <w:pPr>
        <w:numPr>
          <w:ilvl w:val="0"/>
          <w:numId w:val="1001"/>
        </w:numPr>
        <w:pStyle w:val="Compact"/>
      </w:pPr>
      <w:r>
        <w:t xml:space="preserve">Право спеціального використання водних біоресурсів у рибогосподарських водних об’єктах (їх частинах) в розрізі видів: Лящ-3,058 т, судак звичайний-0,453 т, плітка (тараня)- 1,962 т, сазан (короп)- 0,343 т, оселедець чорноморський-0,338 т, щука-0,144 т, сом-0,156 т, плоскирка-0,499 т, піленгас - 0,026 т, лин-0,011 т, рибець звичайний - 0,024 т, білизна-0,013 т, окунь-0,391 т, хамса чорноморська- 0,244 т, краснопірка-0,335 т, бички-0,025 т, пузанок-0,952 т, раки-0,026 т, Карась сріблястий, верховодка, тюлька, атерина, рослиноїдні риби (білий, строкатий товстолоб та їхній гібрид, білий амур)-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ставні з кроком вічка 22-24 мм – 16, сітки ставні -з кроком вічка 38-40, 50 мм-18, сітки ставні з кроком вічка 75 мм і більше-17.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6 485,24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2024-04-30T07:08:05Z</dcterms:created>
  <dcterms:modified xsi:type="dcterms:W3CDTF">2024-04-30T07:08:05Z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