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b4566bc682bfd9db84876525ff6ac046a36ee7"/>
      <w:r>
        <w:rPr>
          <w:b/>
        </w:rPr>
        <w:t xml:space="preserve">ПРОТОКОЛ ПРО РЕЗУЛЬТАТИ ЗЕМЕЛЬНИХ ТОРГІВ № LAE001-UA-20240328-24151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8n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11:40:00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12:09:04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за кадастровим номером 1225680500:03:005:0081, площею, 3,5852 га, розташованої за адресою: Дніпропетровська обл., Царичанський р., с/рада. Бабайківська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за кадастровим номером 1225680500:03:005:0081, площею, 3,5852 га, розташованої за адресою: Дніпропетровська обл., Царичанський р., с/рада. Бабайківська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11 204,00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11 317,04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112,04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3 361,20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"ЛАНИ ДНІПРА", ЄДРПОУ: 45462148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«Виробниче об’єднання «Агросервіс», ЄДРПОУ: 41506453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11 204,00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11 317,04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12:15:31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11 204,00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11 317,04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12:15:31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11 204,00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11 317,04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12:15:31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11 204,00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11 317,04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12:15:31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"ЛАНИ ДНІПРА", ЄДРПОУ: 45462148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565,85 грн (п'ятсот шістдесят п'ять гривень 85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операторами гарантійних внесків (за вирахуванням винагороди оператора):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переможцем:</w:t>
      </w:r>
      <w:r>
        <w:t xml:space="preserve"> </w:t>
      </w:r>
      <w:r>
        <w:t xml:space="preserve">2 795,35 грн (дві тисячі сімсот дев'яносто п'ять гривень 35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забезпечувального платежу, яка підлягає сплаті переможцем земельних торгів оператору для подальшого перерахування організатору:</w:t>
      </w:r>
      <w:r>
        <w:t xml:space="preserve"> </w:t>
      </w:r>
      <w:r>
        <w:t xml:space="preserve">8 521,69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електронного аукціону повинен сплатити забезпечувальний платіж на рахунок оператора:</w:t>
      </w:r>
      <w:r>
        <w:t xml:space="preserve"> </w:t>
      </w:r>
      <w:r>
        <w:t xml:space="preserve">21.05.2024 18:00:00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забезпечувального платежу переможцем: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сплати забезпечувального платежу, сплаченого переможцем земельних торгів:</w:t>
      </w:r>
    </w:p>
    <w:p>
      <w:pPr>
        <w:numPr>
          <w:ilvl w:val="0"/>
          <w:numId w:val="1003"/>
        </w:numPr>
        <w:pStyle w:val="Compact"/>
      </w:pPr>
      <w:r>
        <w:t xml:space="preserve">Одержувач: Приватний виконавець виконавчого округу Дніпропетровської області Селезньов Максим Олександрович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2925910474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UA103052990000026247050000946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12:09:05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"ЛАНИ ДНІПРА", ЄДРПОУ: 45462148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Контакти відповідальної особи оператора переможця земельних торгів</w:t>
      </w:r>
      <w:r>
        <w:br/>
      </w:r>
      <w:r>
        <w:t xml:space="preserve">__________________________________________________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2024-05-20T05:54:46Z</dcterms:created>
  <dcterms:modified xsi:type="dcterms:W3CDTF">2024-05-20T05:54:46Z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